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/>
      </w:tblPr>
      <w:tblGrid>
        <w:gridCol w:w="4141"/>
        <w:gridCol w:w="6350"/>
      </w:tblGrid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:rsidR="00E028D0" w:rsidRPr="0055566A" w:rsidRDefault="004A584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Eskipazar Meslek Yüksekokulu</w:t>
            </w:r>
          </w:p>
        </w:tc>
      </w:tr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:rsidR="00E028D0" w:rsidRPr="0055566A" w:rsidRDefault="00E83E7C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Öğr. Gör. Ömer ÇÖLOVA</w:t>
            </w:r>
          </w:p>
        </w:tc>
      </w:tr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:rsidR="00E028D0" w:rsidRPr="00C50AC4" w:rsidRDefault="004A5846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</w:t>
            </w:r>
          </w:p>
        </w:tc>
      </w:tr>
      <w:tr w:rsidR="00E028D0" w:rsidRPr="00162334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:rsidR="00E028D0" w:rsidRPr="00162334" w:rsidRDefault="00E7278D" w:rsidP="0033444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Dr. Öğr. Üyesi</w:t>
            </w:r>
            <w:r w:rsidR="00E83E7C">
              <w:rPr>
                <w:rFonts w:ascii="Cambria" w:hAnsi="Cambria"/>
              </w:rPr>
              <w:t xml:space="preserve"> Cihan BAYRAKTAR</w:t>
            </w:r>
          </w:p>
        </w:tc>
      </w:tr>
      <w:tr w:rsidR="00E028D0" w:rsidRPr="004349AE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D043A2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:rsidR="00E028D0" w:rsidRPr="00E7278D" w:rsidRDefault="003C036F" w:rsidP="00E94C3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Karabük Üniversitesi üst yönetimi tarafından belirlenen</w:t>
            </w:r>
            <w:r w:rsidR="008F1AA8">
              <w:rPr>
                <w:rFonts w:ascii="Cambria" w:hAnsi="Cambria"/>
              </w:rPr>
              <w:t xml:space="preserve"> amaç ve ilkelere uygun olarak Yüksekokul’un</w:t>
            </w:r>
            <w:r>
              <w:rPr>
                <w:rFonts w:ascii="Cambria" w:hAnsi="Cambria"/>
              </w:rPr>
              <w:t xml:space="preserve"> vizyonu ve misyonu doğrultusunda eğitim ve öğretimi gerçekleştirmek için gerekli tüm faaliyetlerin etkenlik ve verimlilik ilkelerine uygun bir şekilde yürütülmesi amacıyla çalışmalarında </w:t>
            </w:r>
            <w:r w:rsidR="00E94C35"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</w:rPr>
              <w:t xml:space="preserve"> yardımcı olmak, </w:t>
            </w:r>
            <w:r w:rsidR="00E94C35"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</w:rPr>
              <w:t xml:space="preserve"> görev başında olmadığı zamanlarda vekâlet etmek ve </w:t>
            </w:r>
            <w:r w:rsidR="00E94C35">
              <w:rPr>
                <w:rFonts w:ascii="Cambria" w:hAnsi="Cambria"/>
              </w:rPr>
              <w:t>Müdür</w:t>
            </w:r>
            <w:r>
              <w:rPr>
                <w:rFonts w:ascii="Cambria" w:hAnsi="Cambria"/>
              </w:rPr>
              <w:t xml:space="preserve"> adına işleri yürütmek.</w:t>
            </w:r>
          </w:p>
        </w:tc>
      </w:tr>
    </w:tbl>
    <w:p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/>
      </w:tblPr>
      <w:tblGrid>
        <w:gridCol w:w="10461"/>
      </w:tblGrid>
      <w:tr w:rsidR="00E028D0" w:rsidRPr="004349AE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:rsidTr="000E0A26">
        <w:tc>
          <w:tcPr>
            <w:tcW w:w="10461" w:type="dxa"/>
            <w:shd w:val="clear" w:color="auto" w:fill="FFFFFF" w:themeFill="background1"/>
          </w:tcPr>
          <w:p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:rsidR="00E7278D" w:rsidRPr="00555220" w:rsidRDefault="00DB741F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</w:t>
            </w:r>
            <w:r w:rsidR="00E7278D" w:rsidRPr="00555220">
              <w:rPr>
                <w:rFonts w:ascii="Cambria" w:hAnsi="Cambria"/>
              </w:rPr>
              <w:t>, görevi başında olmadığı zamanlarda vekalet etmek,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İlgili kanun ve yönetmeliklerle verilen görevleri yapmak,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Gerektiği zaman güvenlik önlemlerinin alınmasını sağlamak,</w:t>
            </w:r>
          </w:p>
          <w:p w:rsidR="00E7278D" w:rsidRPr="00555220" w:rsidRDefault="00EB48FE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E7278D" w:rsidRPr="00555220">
              <w:rPr>
                <w:rFonts w:ascii="Cambria" w:hAnsi="Cambria"/>
              </w:rPr>
              <w:t xml:space="preserve"> politika ve stratejilerinin belirlenmesi yönünde gerekli çalışmaların yapılmasını sağlamak, 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 xml:space="preserve">Akademik ve idari personelin atanma, kadro, izin, rapor ve diğer özlük haklarını izlemek, bu konularda personelin isteklerini dinlemek, çözüme kavuşturmak, </w:t>
            </w:r>
          </w:p>
          <w:p w:rsidR="00E7278D" w:rsidRPr="00555220" w:rsidRDefault="00EB48FE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Yüksekokul’un</w:t>
            </w:r>
            <w:r w:rsidR="00E7278D" w:rsidRPr="00555220">
              <w:rPr>
                <w:rFonts w:ascii="Cambria" w:hAnsi="Cambria"/>
              </w:rPr>
              <w:t>, personel (özlük hakları, akademik personel alımı, süre uzatma, vb.) işlerinin koordinasyonunu sağlamak,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Yıllık İdari Faaliyet Raporlarını hazırlamak,</w:t>
            </w:r>
          </w:p>
          <w:p w:rsidR="00E7278D" w:rsidRPr="00555220" w:rsidRDefault="00EB48FE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Yüksekokul’un</w:t>
            </w:r>
            <w:r w:rsidR="00E7278D" w:rsidRPr="00555220">
              <w:rPr>
                <w:rFonts w:ascii="Cambria" w:hAnsi="Cambria"/>
              </w:rPr>
              <w:t xml:space="preserve"> stratejik planını hazırlamak,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Ders ücret formlarının düzenlenmesini sağlamak ve kontrol etmek,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Çevre, temizlik, bakım ve onarım hizmetlerini denetlemek,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Satın alma ve ihalelerle ilgili çalışmaları denetlemek ve sonuçlandırmak,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Altyapının geliştirilmesi, destek hizmetleri ile Fakültemizle alakalı sektörlerle ilişkileri düzenlemek,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Gelişim planı çerçevesinde insan kaynaklarının geliştirilmesini sağlamak,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Teknik/teknolojik ve fiziki altyapının planlanması, verimli kullanımı ve iyileştirilmesini sağlamak,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Tahakkuk, taşınır mal kayıt kontrol, satın alma, bütçe ve ödenek durumlarının takibini yapmak,</w:t>
            </w:r>
          </w:p>
          <w:p w:rsidR="00E7278D" w:rsidRPr="00555220" w:rsidRDefault="00D64919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Yüksekokul’un</w:t>
            </w:r>
            <w:r w:rsidR="00E7278D" w:rsidRPr="00555220">
              <w:rPr>
                <w:rFonts w:ascii="Cambria" w:hAnsi="Cambria"/>
              </w:rPr>
              <w:t xml:space="preserve"> alınacak ya da diğer birimlerde yaptırılacak araç, gereç ve malzemelerle ilgili olarak o birim amirleri ile görüşmelerde bulunmak, onların görüş ve önerilerini almak,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 xml:space="preserve"> Görev alanına giren konularda komisyonlar kurmak, komisyon çalışmalarının takibini yapmak ve süresi içinde sonuçlandırılmalarını sağlamak,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Tahakkuk ve ayniyat hizmetlerini denetlemek, depoların düzenli tutulmasını sağlamak,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 xml:space="preserve"> </w:t>
            </w:r>
            <w:r w:rsidR="00D64919">
              <w:rPr>
                <w:rFonts w:ascii="Cambria" w:hAnsi="Cambria"/>
              </w:rPr>
              <w:t>Yüksekokulda</w:t>
            </w:r>
            <w:r w:rsidRPr="00555220">
              <w:rPr>
                <w:rFonts w:ascii="Cambria" w:hAnsi="Cambria"/>
              </w:rPr>
              <w:t xml:space="preserve"> açılacak (Karabük Üniversitesi dışından ve özel amaçlı) kitap sergileri, stantlar ile asılmak istenen afiş ve benzeri talepleri incelemek, denetlemek,</w:t>
            </w:r>
          </w:p>
          <w:p w:rsidR="00E7278D" w:rsidRPr="00555220" w:rsidRDefault="00D64919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E7278D" w:rsidRPr="00555220">
              <w:rPr>
                <w:rFonts w:ascii="Cambria" w:hAnsi="Cambria"/>
              </w:rPr>
              <w:t xml:space="preserve"> iç kontrol uyum eylem planının hazırlanmasını, denetimini ve ilgili birimlere sunulmasını sağlamak,</w:t>
            </w:r>
          </w:p>
          <w:p w:rsidR="00E7278D" w:rsidRPr="00555220" w:rsidRDefault="00D64919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E7278D" w:rsidRPr="00555220">
              <w:rPr>
                <w:rFonts w:ascii="Cambria" w:hAnsi="Cambria"/>
              </w:rPr>
              <w:t xml:space="preserve"> değerlendirme ve kalite geliştirme çalışmalarını yürütmek,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Dilek ve öneri kutularının düzenli olarak açılmasını ve değerlendirmesini yapmak,</w:t>
            </w:r>
          </w:p>
          <w:p w:rsidR="00E7278D" w:rsidRPr="00555220" w:rsidRDefault="00D64919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Yüksekokul</w:t>
            </w:r>
            <w:r w:rsidR="00E7278D" w:rsidRPr="00555220">
              <w:rPr>
                <w:rFonts w:ascii="Cambria" w:hAnsi="Cambria"/>
              </w:rPr>
              <w:t xml:space="preserve"> kütüphanesinin zenginleştirilmesini ve düzenli bir şekilde hizmet sunmasını sağlamak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Sivil savunma çalışmalarını organize etmek ve yürütmek</w:t>
            </w:r>
          </w:p>
          <w:p w:rsidR="00E7278D" w:rsidRPr="00555220" w:rsidRDefault="00D64919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</w:t>
            </w:r>
            <w:r w:rsidR="00E7278D" w:rsidRPr="00555220">
              <w:rPr>
                <w:rFonts w:ascii="Cambria" w:hAnsi="Cambria"/>
              </w:rPr>
              <w:t xml:space="preserve"> tarafından verilecek diğer görevleri yerine getirmek,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Kanun ve yönetmeliklerde kendi sorumluluğunda belirtilen diğer faaliyetleri yerine getirmek,</w:t>
            </w:r>
          </w:p>
          <w:p w:rsidR="00E7278D" w:rsidRPr="00555220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Tasarruf ilkelerine uygun hareket etmek,</w:t>
            </w:r>
          </w:p>
          <w:p w:rsidR="00E7278D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555220">
              <w:rPr>
                <w:rFonts w:ascii="Cambria" w:hAnsi="Cambria"/>
              </w:rPr>
              <w:t>Üniversitenin etik kurallarına uymak,</w:t>
            </w:r>
          </w:p>
          <w:p w:rsidR="00183EC9" w:rsidRPr="00555220" w:rsidRDefault="00183EC9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Cambria" w:hAnsi="Cambria"/>
              </w:rPr>
            </w:pPr>
            <w:r w:rsidRPr="00183EC9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yürütmek,</w:t>
            </w:r>
          </w:p>
          <w:p w:rsidR="00501CB0" w:rsidRPr="00AB3DB9" w:rsidRDefault="00AB3DB9" w:rsidP="00AB3DB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Yukarıda yazılı olan bütün bu görevleri kanunlara ve yönetmeliklere uygun olarak yerine getirirken bağlı bulunduğu yöneticilere karşı sorumludur.</w:t>
            </w:r>
          </w:p>
        </w:tc>
      </w:tr>
    </w:tbl>
    <w:p w:rsidR="003547F6" w:rsidRDefault="003547F6" w:rsidP="004023B0">
      <w:pPr>
        <w:pStyle w:val="AralkYok"/>
        <w:rPr>
          <w:rFonts w:ascii="Cambria" w:hAnsi="Cambria"/>
        </w:rPr>
      </w:pPr>
    </w:p>
    <w:p w:rsidR="00E028D0" w:rsidRDefault="00E028D0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</w:p>
    <w:p w:rsidR="004E7EC9" w:rsidRDefault="004E7EC9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E7EC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63" w:rsidRDefault="00145D63" w:rsidP="00534F7F">
      <w:pPr>
        <w:spacing w:after="0" w:line="240" w:lineRule="auto"/>
      </w:pPr>
      <w:r>
        <w:separator/>
      </w:r>
    </w:p>
  </w:endnote>
  <w:endnote w:type="continuationSeparator" w:id="0">
    <w:p w:rsidR="00145D63" w:rsidRDefault="00145D6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63" w:rsidRDefault="00145D63" w:rsidP="00534F7F">
      <w:pPr>
        <w:spacing w:after="0" w:line="240" w:lineRule="auto"/>
      </w:pPr>
      <w:r>
        <w:separator/>
      </w:r>
    </w:p>
  </w:footnote>
  <w:footnote w:type="continuationSeparator" w:id="0">
    <w:p w:rsidR="00145D63" w:rsidRDefault="00145D6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5" w:type="pct"/>
      <w:tblInd w:w="-356" w:type="dxa"/>
      <w:tblCellMar>
        <w:left w:w="70" w:type="dxa"/>
        <w:right w:w="70" w:type="dxa"/>
      </w:tblCellMar>
      <w:tblLook w:val="04A0"/>
    </w:tblPr>
    <w:tblGrid>
      <w:gridCol w:w="2000"/>
      <w:gridCol w:w="5657"/>
      <w:gridCol w:w="1416"/>
      <w:gridCol w:w="1419"/>
    </w:tblGrid>
    <w:tr w:rsidR="0006413F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3B" w:rsidRDefault="00DA3D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DDA0CE9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33FAA"/>
    <w:rsid w:val="00060D46"/>
    <w:rsid w:val="00061C19"/>
    <w:rsid w:val="0006413F"/>
    <w:rsid w:val="000658D6"/>
    <w:rsid w:val="000711C7"/>
    <w:rsid w:val="00086565"/>
    <w:rsid w:val="000872C6"/>
    <w:rsid w:val="000A60CF"/>
    <w:rsid w:val="000C04CC"/>
    <w:rsid w:val="000C2717"/>
    <w:rsid w:val="000E0A26"/>
    <w:rsid w:val="001439D7"/>
    <w:rsid w:val="00145D63"/>
    <w:rsid w:val="00164950"/>
    <w:rsid w:val="0016547C"/>
    <w:rsid w:val="001718A0"/>
    <w:rsid w:val="00172ADA"/>
    <w:rsid w:val="00182149"/>
    <w:rsid w:val="00183EC9"/>
    <w:rsid w:val="001842CA"/>
    <w:rsid w:val="00194EE6"/>
    <w:rsid w:val="001C58BC"/>
    <w:rsid w:val="001F4724"/>
    <w:rsid w:val="001F6791"/>
    <w:rsid w:val="00213C28"/>
    <w:rsid w:val="002215C4"/>
    <w:rsid w:val="00227FCA"/>
    <w:rsid w:val="0023302F"/>
    <w:rsid w:val="00236E1E"/>
    <w:rsid w:val="002536E0"/>
    <w:rsid w:val="0026786F"/>
    <w:rsid w:val="00283C80"/>
    <w:rsid w:val="002C0A2B"/>
    <w:rsid w:val="002D6778"/>
    <w:rsid w:val="002D73A6"/>
    <w:rsid w:val="002E0883"/>
    <w:rsid w:val="002F0C16"/>
    <w:rsid w:val="002F340D"/>
    <w:rsid w:val="003016C5"/>
    <w:rsid w:val="003230A8"/>
    <w:rsid w:val="0033444E"/>
    <w:rsid w:val="00341062"/>
    <w:rsid w:val="00351AA8"/>
    <w:rsid w:val="003547F6"/>
    <w:rsid w:val="003617EF"/>
    <w:rsid w:val="00393BCE"/>
    <w:rsid w:val="003B01BD"/>
    <w:rsid w:val="003C036F"/>
    <w:rsid w:val="003E2395"/>
    <w:rsid w:val="003E62A7"/>
    <w:rsid w:val="004023B0"/>
    <w:rsid w:val="00416674"/>
    <w:rsid w:val="004168BD"/>
    <w:rsid w:val="004349AE"/>
    <w:rsid w:val="004461F0"/>
    <w:rsid w:val="004A5846"/>
    <w:rsid w:val="004D5C19"/>
    <w:rsid w:val="004E7EC9"/>
    <w:rsid w:val="004F27F3"/>
    <w:rsid w:val="00501CB0"/>
    <w:rsid w:val="0050301A"/>
    <w:rsid w:val="00517BF1"/>
    <w:rsid w:val="00534F7F"/>
    <w:rsid w:val="00551B24"/>
    <w:rsid w:val="00555220"/>
    <w:rsid w:val="0055566A"/>
    <w:rsid w:val="00572F7D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6D0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21D90"/>
    <w:rsid w:val="0086003A"/>
    <w:rsid w:val="00860A17"/>
    <w:rsid w:val="00882AA4"/>
    <w:rsid w:val="008950F3"/>
    <w:rsid w:val="008D371C"/>
    <w:rsid w:val="008F1AA8"/>
    <w:rsid w:val="00906D05"/>
    <w:rsid w:val="00916234"/>
    <w:rsid w:val="00936857"/>
    <w:rsid w:val="00940D30"/>
    <w:rsid w:val="00950FD2"/>
    <w:rsid w:val="009538C2"/>
    <w:rsid w:val="009A241E"/>
    <w:rsid w:val="009B4733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10C8"/>
    <w:rsid w:val="00A83390"/>
    <w:rsid w:val="00A97326"/>
    <w:rsid w:val="00AB3DB9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043A2"/>
    <w:rsid w:val="00D23714"/>
    <w:rsid w:val="00D23EBC"/>
    <w:rsid w:val="00D32675"/>
    <w:rsid w:val="00D33025"/>
    <w:rsid w:val="00D45F71"/>
    <w:rsid w:val="00D55F47"/>
    <w:rsid w:val="00D64919"/>
    <w:rsid w:val="00D676CE"/>
    <w:rsid w:val="00D775AD"/>
    <w:rsid w:val="00D927B5"/>
    <w:rsid w:val="00DA01F5"/>
    <w:rsid w:val="00DA3D3B"/>
    <w:rsid w:val="00DB1312"/>
    <w:rsid w:val="00DB741F"/>
    <w:rsid w:val="00DC7B8E"/>
    <w:rsid w:val="00DD51A4"/>
    <w:rsid w:val="00DE1CD4"/>
    <w:rsid w:val="00DE7DA1"/>
    <w:rsid w:val="00E028D0"/>
    <w:rsid w:val="00E12DEA"/>
    <w:rsid w:val="00E13F11"/>
    <w:rsid w:val="00E36113"/>
    <w:rsid w:val="00E7278D"/>
    <w:rsid w:val="00E76089"/>
    <w:rsid w:val="00E83E7C"/>
    <w:rsid w:val="00E87FEE"/>
    <w:rsid w:val="00E94C35"/>
    <w:rsid w:val="00EB48FE"/>
    <w:rsid w:val="00ED2AD0"/>
    <w:rsid w:val="00EE3346"/>
    <w:rsid w:val="00F409D4"/>
    <w:rsid w:val="00F544B4"/>
    <w:rsid w:val="00FC23A9"/>
    <w:rsid w:val="00FD6A9C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LAB24</cp:lastModifiedBy>
  <cp:revision>2</cp:revision>
  <cp:lastPrinted>2021-07-14T09:04:00Z</cp:lastPrinted>
  <dcterms:created xsi:type="dcterms:W3CDTF">2023-03-24T08:43:00Z</dcterms:created>
  <dcterms:modified xsi:type="dcterms:W3CDTF">2023-03-24T08:43:00Z</dcterms:modified>
</cp:coreProperties>
</file>